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AEBA" w14:textId="3E36D2FF" w:rsidR="00B16A91" w:rsidRDefault="00000000" w:rsidP="00B16A91">
      <w:pPr>
        <w:pStyle w:val="Title"/>
        <w:rPr>
          <w:rFonts w:asciiTheme="minorHAnsi" w:hAnsiTheme="minorHAnsi"/>
        </w:rPr>
      </w:pPr>
      <w:r w:rsidRPr="00B16A91">
        <w:rPr>
          <w:rFonts w:asciiTheme="minorHAnsi" w:hAnsiTheme="minorHAnsi"/>
        </w:rPr>
        <w:t>The IVF Clinic Growth Playbook</w:t>
      </w:r>
    </w:p>
    <w:p w14:paraId="143F48EC" w14:textId="5922FEEB" w:rsidR="00AC01A4" w:rsidRPr="00B16A91" w:rsidRDefault="00000000" w:rsidP="00B16A91">
      <w:pPr>
        <w:spacing w:line="240" w:lineRule="auto"/>
        <w:rPr>
          <w:b/>
          <w:bCs/>
          <w:color w:val="548DD4" w:themeColor="text2" w:themeTint="99"/>
        </w:rPr>
      </w:pPr>
      <w:r w:rsidRPr="00B16A91">
        <w:rPr>
          <w:b/>
          <w:bCs/>
          <w:color w:val="548DD4" w:themeColor="text2" w:themeTint="99"/>
        </w:rPr>
        <w:t>12 Proven Strategies to Increase Patient Enquiries</w:t>
      </w:r>
    </w:p>
    <w:p w14:paraId="49DB27E1" w14:textId="77777777" w:rsidR="00B16A91" w:rsidRDefault="00000000" w:rsidP="00B16A91">
      <w:pPr>
        <w:spacing w:line="240" w:lineRule="auto"/>
      </w:pPr>
      <w:r w:rsidRPr="00B16A91">
        <w:t>The IVF industry is growing rapidly, but so is the competition. Many fertility clinics struggle with inconsistent patient enquiries and unpredictable growth. While clinical expertise is essential, successful IVF centres today also build structured patient acquisition systems. This playbook highlights 12 proven strategies that can help IVF clinics improve visibility, build patient trust, and increase consultation enquiries.</w:t>
      </w:r>
    </w:p>
    <w:p w14:paraId="771059F2" w14:textId="4925CAA0"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1. Build a Strong IVF Clinic Brand</w:t>
      </w:r>
    </w:p>
    <w:p w14:paraId="4957918C" w14:textId="77777777" w:rsidR="00AC01A4" w:rsidRPr="00B16A91" w:rsidRDefault="00000000" w:rsidP="00B16A91">
      <w:pPr>
        <w:pStyle w:val="ListBullet"/>
        <w:spacing w:before="120" w:after="120" w:line="240" w:lineRule="exact"/>
      </w:pPr>
      <w:r w:rsidRPr="00B16A91">
        <w:t>Patients choose IVF clinics based on trust and credibility.</w:t>
      </w:r>
    </w:p>
    <w:p w14:paraId="3F7792C8" w14:textId="77777777" w:rsidR="00AC01A4" w:rsidRPr="00B16A91" w:rsidRDefault="00000000" w:rsidP="00B16A91">
      <w:pPr>
        <w:pStyle w:val="ListBullet"/>
        <w:spacing w:before="120" w:after="120" w:line="240" w:lineRule="exact"/>
      </w:pPr>
      <w:r w:rsidRPr="00B16A91">
        <w:t>A strong brand communicates clinical expertise, transparency, and patient care philosophy.</w:t>
      </w:r>
    </w:p>
    <w:p w14:paraId="636ADBE6" w14:textId="77777777" w:rsidR="00B16A91" w:rsidRDefault="00000000" w:rsidP="00B16A91">
      <w:pPr>
        <w:pStyle w:val="ListBullet"/>
        <w:spacing w:before="120" w:after="120" w:line="240" w:lineRule="exact"/>
      </w:pPr>
      <w:r w:rsidRPr="00B16A91">
        <w:t>Your clinic should clearly communicate what makes it different from others.</w:t>
      </w:r>
    </w:p>
    <w:p w14:paraId="19116712" w14:textId="77777777" w:rsidR="00B16A91" w:rsidRDefault="00B16A91" w:rsidP="00B16A91">
      <w:pPr>
        <w:pStyle w:val="ListBullet"/>
        <w:numPr>
          <w:ilvl w:val="0"/>
          <w:numId w:val="0"/>
        </w:numPr>
        <w:spacing w:before="120" w:after="120" w:line="240" w:lineRule="exact"/>
      </w:pPr>
    </w:p>
    <w:p w14:paraId="5FADD87D" w14:textId="5E345799"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2. Create an Educational Website</w:t>
      </w:r>
    </w:p>
    <w:p w14:paraId="2B570A54" w14:textId="77777777" w:rsidR="00AC01A4" w:rsidRPr="00B16A91" w:rsidRDefault="00000000" w:rsidP="00B16A91">
      <w:pPr>
        <w:pStyle w:val="ListBullet"/>
        <w:spacing w:before="120" w:after="120" w:line="240" w:lineRule="exact"/>
      </w:pPr>
      <w:r w:rsidRPr="00B16A91">
        <w:t>Your website should act like a digital fertility counsellor.</w:t>
      </w:r>
    </w:p>
    <w:p w14:paraId="453406F7" w14:textId="77777777" w:rsidR="00AC01A4" w:rsidRPr="00B16A91" w:rsidRDefault="00000000" w:rsidP="00B16A91">
      <w:pPr>
        <w:pStyle w:val="ListBullet"/>
        <w:spacing w:before="120" w:after="120" w:line="240" w:lineRule="exact"/>
      </w:pPr>
      <w:r w:rsidRPr="00B16A91">
        <w:t>It should explain IVF treatments, success factors, treatment processes, and doctor expertise.</w:t>
      </w:r>
    </w:p>
    <w:p w14:paraId="747A960F" w14:textId="77777777" w:rsidR="00B16A91" w:rsidRDefault="00000000" w:rsidP="00B16A91">
      <w:pPr>
        <w:pStyle w:val="ListBullet"/>
        <w:spacing w:before="120" w:after="120" w:line="240" w:lineRule="exact"/>
      </w:pPr>
      <w:r w:rsidRPr="00B16A91">
        <w:t>Educational websites build confidence and trust before the first consultation.</w:t>
      </w:r>
    </w:p>
    <w:p w14:paraId="132CB43A" w14:textId="77777777" w:rsidR="00B16A91" w:rsidRDefault="00B16A91" w:rsidP="00B16A91">
      <w:pPr>
        <w:pStyle w:val="ListBullet"/>
        <w:numPr>
          <w:ilvl w:val="0"/>
          <w:numId w:val="0"/>
        </w:numPr>
        <w:spacing w:before="120" w:after="120" w:line="240" w:lineRule="exact"/>
      </w:pPr>
    </w:p>
    <w:p w14:paraId="1C5A45F2" w14:textId="1DDBC54C"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3. Improve Search Visibility</w:t>
      </w:r>
    </w:p>
    <w:p w14:paraId="4E3A10A2" w14:textId="77777777" w:rsidR="00AC01A4" w:rsidRPr="00B16A91" w:rsidRDefault="00000000" w:rsidP="00B16A91">
      <w:pPr>
        <w:pStyle w:val="ListBullet"/>
        <w:spacing w:before="120" w:after="120" w:line="240" w:lineRule="exact"/>
      </w:pPr>
      <w:r w:rsidRPr="00B16A91">
        <w:t>Most patients begin their fertility journey online.</w:t>
      </w:r>
    </w:p>
    <w:p w14:paraId="249CE7C7" w14:textId="77777777" w:rsidR="00AC01A4" w:rsidRPr="00B16A91" w:rsidRDefault="00000000" w:rsidP="00B16A91">
      <w:pPr>
        <w:pStyle w:val="ListBullet"/>
        <w:spacing w:before="120" w:after="120" w:line="240" w:lineRule="exact"/>
      </w:pPr>
      <w:r w:rsidRPr="00B16A91">
        <w:t>They search for IVF clinics, treatment options, and fertility specialists.</w:t>
      </w:r>
    </w:p>
    <w:p w14:paraId="3ECC2C66" w14:textId="77777777" w:rsidR="00B16A91" w:rsidRDefault="00000000" w:rsidP="00B16A91">
      <w:pPr>
        <w:pStyle w:val="ListBullet"/>
        <w:spacing w:before="120" w:after="120" w:line="240" w:lineRule="exact"/>
      </w:pPr>
      <w:r w:rsidRPr="00B16A91">
        <w:t>SEO, Google Ads, and local search visibility help clinics appear during this research phase.</w:t>
      </w:r>
    </w:p>
    <w:p w14:paraId="0268CFE8" w14:textId="77777777" w:rsidR="00B16A91" w:rsidRDefault="00B16A91" w:rsidP="00B16A91">
      <w:pPr>
        <w:pStyle w:val="ListBullet"/>
        <w:numPr>
          <w:ilvl w:val="0"/>
          <w:numId w:val="0"/>
        </w:numPr>
        <w:spacing w:before="120" w:after="120" w:line="240" w:lineRule="exact"/>
      </w:pPr>
    </w:p>
    <w:p w14:paraId="3913FBDC" w14:textId="39D02D5B"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4. Publish Educational Content Regularly</w:t>
      </w:r>
    </w:p>
    <w:p w14:paraId="4EB1EEED" w14:textId="77777777" w:rsidR="00AC01A4" w:rsidRPr="00B16A91" w:rsidRDefault="00000000" w:rsidP="00B16A91">
      <w:pPr>
        <w:pStyle w:val="ListBullet"/>
        <w:spacing w:before="120" w:after="120" w:line="240" w:lineRule="exact"/>
      </w:pPr>
      <w:r w:rsidRPr="00B16A91">
        <w:t>Patients research fertility treatments extensively before choosing a clinic.</w:t>
      </w:r>
    </w:p>
    <w:p w14:paraId="6CA1B827" w14:textId="77777777" w:rsidR="00B16A91" w:rsidRDefault="00000000" w:rsidP="00B16A91">
      <w:pPr>
        <w:pStyle w:val="ListBullet"/>
        <w:spacing w:before="120" w:after="120" w:line="240" w:lineRule="exact"/>
      </w:pPr>
      <w:r w:rsidRPr="00B16A91">
        <w:t>Blogs, educational videos, and awareness content build trust and authority</w:t>
      </w:r>
    </w:p>
    <w:p w14:paraId="7C01D48A" w14:textId="77777777" w:rsidR="00B16A91" w:rsidRDefault="00B16A91" w:rsidP="00B16A91">
      <w:pPr>
        <w:pStyle w:val="ListBullet"/>
        <w:numPr>
          <w:ilvl w:val="0"/>
          <w:numId w:val="0"/>
        </w:numPr>
        <w:spacing w:before="120" w:after="120" w:line="240" w:lineRule="exact"/>
      </w:pPr>
    </w:p>
    <w:p w14:paraId="652DAB00" w14:textId="74084311"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5. Enable Easy Patient Enquiries</w:t>
      </w:r>
    </w:p>
    <w:p w14:paraId="24060727" w14:textId="77777777" w:rsidR="00AC01A4" w:rsidRPr="00B16A91" w:rsidRDefault="00000000" w:rsidP="00B16A91">
      <w:pPr>
        <w:pStyle w:val="ListBullet"/>
        <w:spacing w:before="120" w:after="120" w:line="240" w:lineRule="exact"/>
      </w:pPr>
      <w:r w:rsidRPr="00B16A91">
        <w:t>Make it simple for patients to contact your clinic.</w:t>
      </w:r>
    </w:p>
    <w:p w14:paraId="7E50AAB4" w14:textId="77777777" w:rsidR="00B16A91" w:rsidRDefault="00000000" w:rsidP="00B16A91">
      <w:pPr>
        <w:pStyle w:val="ListBullet"/>
        <w:spacing w:before="120" w:after="120" w:line="240" w:lineRule="exact"/>
      </w:pPr>
      <w:r w:rsidRPr="00B16A91">
        <w:t>Provide enquiry forms, WhatsApp chat, and consultation booking options.</w:t>
      </w:r>
    </w:p>
    <w:p w14:paraId="798A7B8C" w14:textId="77777777" w:rsidR="00B16A91" w:rsidRDefault="00B16A91" w:rsidP="00B16A91">
      <w:pPr>
        <w:pStyle w:val="ListBullet"/>
        <w:numPr>
          <w:ilvl w:val="0"/>
          <w:numId w:val="0"/>
        </w:numPr>
        <w:spacing w:before="120" w:after="120" w:line="240" w:lineRule="exact"/>
      </w:pPr>
    </w:p>
    <w:p w14:paraId="292DA9CD" w14:textId="77B1C2C8"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6. Respond Quickly to Enquiries</w:t>
      </w:r>
    </w:p>
    <w:p w14:paraId="57D7E687" w14:textId="77777777" w:rsidR="00AC01A4" w:rsidRPr="00B16A91" w:rsidRDefault="00000000" w:rsidP="00B16A91">
      <w:pPr>
        <w:pStyle w:val="ListBullet"/>
        <w:spacing w:before="120" w:after="120" w:line="240" w:lineRule="exact"/>
      </w:pPr>
      <w:r w:rsidRPr="00B16A91">
        <w:t>Clinics that respond within 10–15 minutes often convert more enquiries into consultations.</w:t>
      </w:r>
    </w:p>
    <w:p w14:paraId="5878D9DB" w14:textId="77777777" w:rsidR="00B16A91" w:rsidRDefault="00000000" w:rsidP="00B16A91">
      <w:pPr>
        <w:pStyle w:val="ListBullet"/>
        <w:spacing w:before="120" w:after="120" w:line="240" w:lineRule="exact"/>
      </w:pPr>
      <w:r w:rsidRPr="00B16A91">
        <w:t>Delayed responses may lead patients to contact other clinics.</w:t>
      </w:r>
    </w:p>
    <w:p w14:paraId="30120783" w14:textId="77777777" w:rsidR="00B16A91" w:rsidRDefault="00B16A91" w:rsidP="00B16A91">
      <w:pPr>
        <w:pStyle w:val="ListBullet"/>
        <w:numPr>
          <w:ilvl w:val="0"/>
          <w:numId w:val="0"/>
        </w:numPr>
        <w:spacing w:before="120" w:after="120" w:line="240" w:lineRule="exact"/>
      </w:pPr>
    </w:p>
    <w:p w14:paraId="570F232D" w14:textId="55F8423D"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7. Train Your Fertility Counselling Team</w:t>
      </w:r>
    </w:p>
    <w:p w14:paraId="7AC562BD" w14:textId="77777777" w:rsidR="00AC01A4" w:rsidRPr="00B16A91" w:rsidRDefault="00000000" w:rsidP="00B16A91">
      <w:pPr>
        <w:pStyle w:val="ListBullet"/>
        <w:spacing w:before="120" w:after="120" w:line="240" w:lineRule="exact"/>
      </w:pPr>
      <w:r w:rsidRPr="00B16A91">
        <w:t>Counsellors should clearly explain treatment options and address patient concerns.</w:t>
      </w:r>
    </w:p>
    <w:p w14:paraId="14D16DA8" w14:textId="77777777" w:rsidR="00B16A91" w:rsidRDefault="00000000" w:rsidP="00B16A91">
      <w:pPr>
        <w:pStyle w:val="ListBullet"/>
        <w:spacing w:before="120" w:after="120" w:line="240" w:lineRule="exact"/>
      </w:pPr>
      <w:r w:rsidRPr="00B16A91">
        <w:t>Strong counselling improves consultation-to-cycle conversion.</w:t>
      </w:r>
    </w:p>
    <w:p w14:paraId="5F80481B" w14:textId="77777777" w:rsidR="00B16A91" w:rsidRDefault="00B16A91" w:rsidP="00B16A91">
      <w:pPr>
        <w:pStyle w:val="ListBullet"/>
        <w:numPr>
          <w:ilvl w:val="0"/>
          <w:numId w:val="0"/>
        </w:numPr>
        <w:spacing w:before="120" w:after="120" w:line="240" w:lineRule="exact"/>
      </w:pPr>
    </w:p>
    <w:p w14:paraId="58D01F19" w14:textId="416875E9"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8. Track Key Marketing Metrics</w:t>
      </w:r>
    </w:p>
    <w:p w14:paraId="4345EC55" w14:textId="77777777" w:rsidR="00AC01A4" w:rsidRPr="00B16A91" w:rsidRDefault="00000000" w:rsidP="00B16A91">
      <w:pPr>
        <w:pStyle w:val="ListBullet"/>
        <w:spacing w:before="120" w:after="120" w:line="240" w:lineRule="exact"/>
      </w:pPr>
      <w:r w:rsidRPr="00B16A91">
        <w:t>Measure cost per lead, consultation conversion rate, and cost per IVF cycle acquired.</w:t>
      </w:r>
    </w:p>
    <w:p w14:paraId="4A51413D" w14:textId="77777777" w:rsidR="00B16A91" w:rsidRDefault="00000000" w:rsidP="00B16A91">
      <w:pPr>
        <w:pStyle w:val="ListBullet"/>
        <w:spacing w:before="120" w:after="120" w:line="240" w:lineRule="exact"/>
      </w:pPr>
      <w:r w:rsidRPr="00B16A91">
        <w:t>Data-driven decisions help optimize marketing investments.</w:t>
      </w:r>
    </w:p>
    <w:p w14:paraId="0C2259B1" w14:textId="77777777" w:rsidR="00B16A91" w:rsidRDefault="00B16A91" w:rsidP="00B16A91">
      <w:pPr>
        <w:pStyle w:val="ListBullet"/>
        <w:numPr>
          <w:ilvl w:val="0"/>
          <w:numId w:val="0"/>
        </w:numPr>
        <w:spacing w:before="120" w:after="120" w:line="240" w:lineRule="exact"/>
      </w:pPr>
    </w:p>
    <w:p w14:paraId="4413D770" w14:textId="2A409F0C"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9. Build Referral Networks</w:t>
      </w:r>
    </w:p>
    <w:p w14:paraId="483CCCF6" w14:textId="77777777" w:rsidR="00AC01A4" w:rsidRPr="00B16A91" w:rsidRDefault="00000000" w:rsidP="00B16A91">
      <w:pPr>
        <w:pStyle w:val="ListBullet"/>
        <w:spacing w:before="120" w:after="120" w:line="240" w:lineRule="exact"/>
      </w:pPr>
      <w:r w:rsidRPr="00B16A91">
        <w:t>Collaborate with gynaecologists and healthcare professionals.</w:t>
      </w:r>
    </w:p>
    <w:p w14:paraId="14C34993" w14:textId="77777777" w:rsidR="00B16A91" w:rsidRDefault="00000000" w:rsidP="00B16A91">
      <w:pPr>
        <w:pStyle w:val="ListBullet"/>
        <w:spacing w:before="120" w:after="120" w:line="240" w:lineRule="exact"/>
      </w:pPr>
      <w:r w:rsidRPr="00B16A91">
        <w:t>Strong professional networks create long-term patient referrals.</w:t>
      </w:r>
    </w:p>
    <w:p w14:paraId="0F67EF00" w14:textId="77777777" w:rsidR="00B16A91" w:rsidRPr="00B16A91" w:rsidRDefault="00B16A91" w:rsidP="00B16A91">
      <w:pPr>
        <w:spacing w:before="120" w:after="120" w:line="240" w:lineRule="exact"/>
        <w:rPr>
          <w:b/>
          <w:bCs/>
          <w:color w:val="548DD4" w:themeColor="text2" w:themeTint="99"/>
        </w:rPr>
      </w:pPr>
    </w:p>
    <w:p w14:paraId="2CD43C59" w14:textId="22EA3E62"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10. Share Patient Education &amp; Success Stories</w:t>
      </w:r>
    </w:p>
    <w:p w14:paraId="425052FE" w14:textId="77777777" w:rsidR="00B16A91" w:rsidRDefault="00000000" w:rsidP="00B16A91">
      <w:pPr>
        <w:pStyle w:val="ListBullet"/>
        <w:spacing w:before="120" w:after="120" w:line="240" w:lineRule="exact"/>
      </w:pPr>
      <w:r w:rsidRPr="00B16A91">
        <w:t>Testimonials and authentic patient stories build trust among prospective patients.</w:t>
      </w:r>
    </w:p>
    <w:p w14:paraId="13D8B163" w14:textId="77777777" w:rsidR="00B16A91" w:rsidRDefault="00B16A91" w:rsidP="00B16A91">
      <w:pPr>
        <w:pStyle w:val="ListBullet"/>
        <w:numPr>
          <w:ilvl w:val="0"/>
          <w:numId w:val="0"/>
        </w:numPr>
        <w:spacing w:before="120" w:after="120" w:line="240" w:lineRule="exact"/>
      </w:pPr>
    </w:p>
    <w:p w14:paraId="7BF9A8EC" w14:textId="1E8C9FBC"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11. Use Social Media for Awareness</w:t>
      </w:r>
    </w:p>
    <w:p w14:paraId="33D265B7" w14:textId="77777777" w:rsidR="00AC01A4" w:rsidRPr="00B16A91" w:rsidRDefault="00000000" w:rsidP="00B16A91">
      <w:pPr>
        <w:pStyle w:val="ListBullet"/>
        <w:spacing w:before="120" w:after="120" w:line="240" w:lineRule="exact"/>
      </w:pPr>
      <w:r w:rsidRPr="00B16A91">
        <w:t>Share fertility education, myth-busting posts, and treatment awareness.</w:t>
      </w:r>
    </w:p>
    <w:p w14:paraId="4229AA29" w14:textId="77777777" w:rsidR="00B16A91" w:rsidRDefault="00000000" w:rsidP="00B16A91">
      <w:pPr>
        <w:pStyle w:val="ListBullet"/>
        <w:spacing w:before="120" w:after="120" w:line="240" w:lineRule="exact"/>
      </w:pPr>
      <w:r w:rsidRPr="00B16A91">
        <w:t>This improves engagement and visibility.</w:t>
      </w:r>
    </w:p>
    <w:p w14:paraId="4CD0CB6B" w14:textId="77777777" w:rsidR="00B16A91" w:rsidRDefault="00B16A91" w:rsidP="00B16A91">
      <w:pPr>
        <w:pStyle w:val="ListBullet"/>
        <w:numPr>
          <w:ilvl w:val="0"/>
          <w:numId w:val="0"/>
        </w:numPr>
        <w:spacing w:before="120" w:after="120" w:line="240" w:lineRule="exact"/>
      </w:pPr>
    </w:p>
    <w:p w14:paraId="4E8588A4" w14:textId="5371B8F1"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12. Continuously Improve the Patient Journey</w:t>
      </w:r>
    </w:p>
    <w:p w14:paraId="73D7C8AD" w14:textId="77777777" w:rsidR="00AC01A4" w:rsidRPr="00B16A91" w:rsidRDefault="00000000" w:rsidP="00B16A91">
      <w:pPr>
        <w:pStyle w:val="ListBullet"/>
        <w:spacing w:before="120" w:after="120" w:line="240" w:lineRule="exact"/>
      </w:pPr>
      <w:r w:rsidRPr="00B16A91">
        <w:t>From first enquiry to treatment start, ensure a supportive and professional experience.</w:t>
      </w:r>
    </w:p>
    <w:p w14:paraId="5B9FD42D" w14:textId="77777777" w:rsidR="00B16A91" w:rsidRDefault="00000000" w:rsidP="00B16A91">
      <w:pPr>
        <w:pStyle w:val="ListBullet"/>
        <w:spacing w:before="120" w:after="120" w:line="240" w:lineRule="exact"/>
      </w:pPr>
      <w:r w:rsidRPr="00B16A91">
        <w:t>Small improvements in follow-up and consultation experience can significantly increase conversions.</w:t>
      </w:r>
    </w:p>
    <w:p w14:paraId="76DA8290" w14:textId="77777777" w:rsidR="00B16A91" w:rsidRDefault="00B16A91" w:rsidP="00B16A91">
      <w:pPr>
        <w:pStyle w:val="ListBullet"/>
        <w:numPr>
          <w:ilvl w:val="0"/>
          <w:numId w:val="0"/>
        </w:numPr>
        <w:spacing w:before="120" w:after="120" w:line="240" w:lineRule="exact"/>
      </w:pPr>
    </w:p>
    <w:p w14:paraId="39EDCB79" w14:textId="1D9BA375" w:rsidR="00AC01A4" w:rsidRPr="00B16A91" w:rsidRDefault="00000000" w:rsidP="00B16A91">
      <w:pPr>
        <w:spacing w:before="120" w:after="120" w:line="240" w:lineRule="exact"/>
        <w:rPr>
          <w:b/>
          <w:bCs/>
          <w:color w:val="548DD4" w:themeColor="text2" w:themeTint="99"/>
        </w:rPr>
      </w:pPr>
      <w:r w:rsidRPr="00B16A91">
        <w:rPr>
          <w:b/>
          <w:bCs/>
          <w:color w:val="548DD4" w:themeColor="text2" w:themeTint="99"/>
        </w:rPr>
        <w:t>Final Insight</w:t>
      </w:r>
    </w:p>
    <w:p w14:paraId="29794812" w14:textId="77777777" w:rsidR="00B16A91" w:rsidRPr="00B16A91" w:rsidRDefault="00000000" w:rsidP="00B16A91">
      <w:pPr>
        <w:spacing w:before="120" w:after="120" w:line="240" w:lineRule="exact"/>
      </w:pPr>
      <w:r w:rsidRPr="00B16A91">
        <w:t>The most successful IVF clinics combine clinical excellence with structured patient acquisition systems. Clinics that focus on both will build sustainable long-term growth.</w:t>
      </w:r>
    </w:p>
    <w:p w14:paraId="13FE13F6" w14:textId="0F50CA9B" w:rsidR="00B16A91" w:rsidRPr="00B16A91" w:rsidRDefault="00B16A91" w:rsidP="00B16A91">
      <w:pPr>
        <w:spacing w:before="120" w:after="120" w:line="240" w:lineRule="exact"/>
        <w:rPr>
          <w:color w:val="548DD4" w:themeColor="text2" w:themeTint="99"/>
        </w:rPr>
      </w:pPr>
      <w:r w:rsidRPr="00B16A91">
        <w:rPr>
          <w:b/>
          <w:bCs/>
          <w:color w:val="548DD4" w:themeColor="text2" w:themeTint="99"/>
        </w:rPr>
        <w:t>Turning Strategy into Action</w:t>
      </w:r>
    </w:p>
    <w:p w14:paraId="15507526" w14:textId="77777777" w:rsidR="00B16A91" w:rsidRPr="00B16A91" w:rsidRDefault="00B16A91" w:rsidP="00B16A91">
      <w:pPr>
        <w:spacing w:before="120" w:after="120" w:line="240" w:lineRule="exact"/>
        <w:rPr>
          <w:lang w:val="en-IN"/>
        </w:rPr>
      </w:pPr>
      <w:r w:rsidRPr="00B16A91">
        <w:rPr>
          <w:lang w:val="en-IN"/>
        </w:rPr>
        <w:t>The strategies outlined in this playbook provide a clear framework for strengthening your IVF clinic’s patient acquisition and growth systems.</w:t>
      </w:r>
    </w:p>
    <w:p w14:paraId="4AAAEFCC" w14:textId="77777777" w:rsidR="00B16A91" w:rsidRPr="00B16A91" w:rsidRDefault="00B16A91" w:rsidP="00B16A91">
      <w:pPr>
        <w:spacing w:before="120" w:after="120" w:line="240" w:lineRule="exact"/>
        <w:rPr>
          <w:lang w:val="en-IN"/>
        </w:rPr>
      </w:pPr>
      <w:r w:rsidRPr="00B16A91">
        <w:rPr>
          <w:lang w:val="en-IN"/>
        </w:rPr>
        <w:t xml:space="preserve">However, every fertility clinic operates within a </w:t>
      </w:r>
      <w:r w:rsidRPr="00B16A91">
        <w:rPr>
          <w:b/>
          <w:bCs/>
          <w:lang w:val="en-IN"/>
        </w:rPr>
        <w:t>unique clinical, geographic, and competitive environment</w:t>
      </w:r>
      <w:r w:rsidRPr="00B16A91">
        <w:rPr>
          <w:lang w:val="en-IN"/>
        </w:rPr>
        <w:t xml:space="preserve">. The effectiveness of these strategies depends on how they are </w:t>
      </w:r>
      <w:r w:rsidRPr="00B16A91">
        <w:rPr>
          <w:b/>
          <w:bCs/>
          <w:lang w:val="en-IN"/>
        </w:rPr>
        <w:t>adapted, prioritised, and implemented</w:t>
      </w:r>
      <w:r w:rsidRPr="00B16A91">
        <w:rPr>
          <w:lang w:val="en-IN"/>
        </w:rPr>
        <w:t xml:space="preserve"> for your specific practice.</w:t>
      </w:r>
    </w:p>
    <w:p w14:paraId="1ABE3968" w14:textId="77777777" w:rsidR="00B16A91" w:rsidRPr="00B16A91" w:rsidRDefault="00B16A91" w:rsidP="00B16A91">
      <w:pPr>
        <w:spacing w:before="120" w:after="120" w:line="240" w:lineRule="exact"/>
        <w:rPr>
          <w:lang w:val="en-IN"/>
        </w:rPr>
      </w:pPr>
      <w:r w:rsidRPr="00B16A91">
        <w:rPr>
          <w:lang w:val="en-IN"/>
        </w:rPr>
        <w:t>Many clinics discover that small improvements in areas such as:</w:t>
      </w:r>
    </w:p>
    <w:p w14:paraId="0EAD0B86" w14:textId="77777777" w:rsidR="00B16A91" w:rsidRPr="00B16A91" w:rsidRDefault="00B16A91" w:rsidP="00B16A91">
      <w:pPr>
        <w:spacing w:before="120" w:after="120" w:line="240" w:lineRule="exact"/>
        <w:rPr>
          <w:lang w:val="en-IN"/>
        </w:rPr>
      </w:pPr>
      <w:r w:rsidRPr="00B16A91">
        <w:rPr>
          <w:lang w:val="en-IN"/>
        </w:rPr>
        <w:t>• website communication</w:t>
      </w:r>
      <w:r w:rsidRPr="00B16A91">
        <w:rPr>
          <w:lang w:val="en-IN"/>
        </w:rPr>
        <w:br/>
        <w:t>• enquiry response systems</w:t>
      </w:r>
      <w:r w:rsidRPr="00B16A91">
        <w:rPr>
          <w:lang w:val="en-IN"/>
        </w:rPr>
        <w:br/>
        <w:t>• patient counselling</w:t>
      </w:r>
      <w:r w:rsidRPr="00B16A91">
        <w:rPr>
          <w:lang w:val="en-IN"/>
        </w:rPr>
        <w:br/>
        <w:t>• digital visibility</w:t>
      </w:r>
      <w:r w:rsidRPr="00B16A91">
        <w:rPr>
          <w:lang w:val="en-IN"/>
        </w:rPr>
        <w:br/>
        <w:t>• referral networks</w:t>
      </w:r>
    </w:p>
    <w:p w14:paraId="1F9FC4C3" w14:textId="77777777" w:rsidR="00B16A91" w:rsidRPr="00B16A91" w:rsidRDefault="00B16A91" w:rsidP="00B16A91">
      <w:pPr>
        <w:spacing w:before="120" w:after="120" w:line="240" w:lineRule="exact"/>
        <w:rPr>
          <w:lang w:val="en-IN"/>
        </w:rPr>
      </w:pPr>
      <w:r w:rsidRPr="00B16A91">
        <w:rPr>
          <w:lang w:val="en-IN"/>
        </w:rPr>
        <w:t xml:space="preserve">can significantly improve </w:t>
      </w:r>
      <w:r w:rsidRPr="00B16A91">
        <w:rPr>
          <w:b/>
          <w:bCs/>
          <w:lang w:val="en-IN"/>
        </w:rPr>
        <w:t>patient enquiries and consultation conversions</w:t>
      </w:r>
      <w:r w:rsidRPr="00B16A91">
        <w:rPr>
          <w:lang w:val="en-IN"/>
        </w:rPr>
        <w:t>.</w:t>
      </w:r>
    </w:p>
    <w:p w14:paraId="4F4C1F57" w14:textId="77777777" w:rsidR="00B16A91" w:rsidRPr="00B16A91" w:rsidRDefault="00B16A91" w:rsidP="00B16A91">
      <w:pPr>
        <w:spacing w:before="120" w:after="120" w:line="240" w:lineRule="exact"/>
        <w:rPr>
          <w:lang w:val="en-IN"/>
        </w:rPr>
      </w:pPr>
      <w:r w:rsidRPr="00B16A91">
        <w:rPr>
          <w:lang w:val="en-IN"/>
        </w:rPr>
        <w:t xml:space="preserve">The key is to approach clinic growth </w:t>
      </w:r>
      <w:r w:rsidRPr="00B16A91">
        <w:rPr>
          <w:b/>
          <w:bCs/>
          <w:lang w:val="en-IN"/>
        </w:rPr>
        <w:t>strategically and systematically</w:t>
      </w:r>
      <w:r w:rsidRPr="00B16A91">
        <w:rPr>
          <w:lang w:val="en-IN"/>
        </w:rPr>
        <w:t>, just as clinical protocols are carefully designed and optimised.</w:t>
      </w:r>
    </w:p>
    <w:p w14:paraId="365B36C8" w14:textId="3EE07D35" w:rsidR="00B16A91" w:rsidRPr="00B16A91" w:rsidRDefault="00B16A91" w:rsidP="00B16A91">
      <w:pPr>
        <w:spacing w:before="120" w:after="120" w:line="240" w:lineRule="exact"/>
        <w:rPr>
          <w:lang w:val="en-IN"/>
        </w:rPr>
      </w:pPr>
    </w:p>
    <w:p w14:paraId="645158E4" w14:textId="77777777" w:rsidR="00B16A91" w:rsidRPr="00B16A91" w:rsidRDefault="00B16A91" w:rsidP="00B16A91">
      <w:pPr>
        <w:spacing w:before="120" w:after="120" w:line="240" w:lineRule="exact"/>
        <w:rPr>
          <w:b/>
          <w:bCs/>
          <w:color w:val="548DD4" w:themeColor="text2" w:themeTint="99"/>
        </w:rPr>
      </w:pPr>
      <w:r w:rsidRPr="00B16A91">
        <w:rPr>
          <w:b/>
          <w:bCs/>
          <w:color w:val="548DD4" w:themeColor="text2" w:themeTint="99"/>
        </w:rPr>
        <w:t>Need Guidance Implementing These Strategies?</w:t>
      </w:r>
    </w:p>
    <w:p w14:paraId="1FCC128C" w14:textId="77777777" w:rsidR="00B16A91" w:rsidRPr="00B16A91" w:rsidRDefault="00B16A91" w:rsidP="00B16A91">
      <w:pPr>
        <w:spacing w:before="120" w:after="120" w:line="240" w:lineRule="exact"/>
        <w:rPr>
          <w:lang w:val="en-IN"/>
        </w:rPr>
      </w:pPr>
      <w:r w:rsidRPr="00B16A91">
        <w:rPr>
          <w:lang w:val="en-IN"/>
        </w:rPr>
        <w:t>If you would like help evaluating your current patient acquisition approach and identifying practical opportunities for improvement, we would be happy to support you.</w:t>
      </w:r>
    </w:p>
    <w:p w14:paraId="72F05807" w14:textId="77777777" w:rsidR="00B16A91" w:rsidRPr="00B16A91" w:rsidRDefault="00B16A91" w:rsidP="00B16A91">
      <w:pPr>
        <w:spacing w:before="120" w:after="120" w:line="240" w:lineRule="exact"/>
        <w:rPr>
          <w:lang w:val="en-IN"/>
        </w:rPr>
      </w:pPr>
      <w:r w:rsidRPr="00B16A91">
        <w:rPr>
          <w:lang w:val="en-IN"/>
        </w:rPr>
        <w:t xml:space="preserve">You can reach out to us for a </w:t>
      </w:r>
      <w:r w:rsidRPr="00B16A91">
        <w:rPr>
          <w:b/>
          <w:bCs/>
          <w:lang w:val="en-IN"/>
        </w:rPr>
        <w:t>strategic discussion on IVF clinic growth, branding, and patient acquisition systems.</w:t>
      </w:r>
    </w:p>
    <w:p w14:paraId="42B8AF0B" w14:textId="0B90F6E4" w:rsidR="00AC01A4" w:rsidRPr="00B16A91" w:rsidRDefault="00AC01A4" w:rsidP="00B16A91">
      <w:pPr>
        <w:spacing w:before="120" w:after="120" w:line="240" w:lineRule="exact"/>
      </w:pPr>
    </w:p>
    <w:sectPr w:rsidR="00AC01A4" w:rsidRPr="00B16A91" w:rsidSect="00B16A9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3644976">
    <w:abstractNumId w:val="8"/>
  </w:num>
  <w:num w:numId="2" w16cid:durableId="866524187">
    <w:abstractNumId w:val="6"/>
  </w:num>
  <w:num w:numId="3" w16cid:durableId="750001693">
    <w:abstractNumId w:val="5"/>
  </w:num>
  <w:num w:numId="4" w16cid:durableId="1944262779">
    <w:abstractNumId w:val="4"/>
  </w:num>
  <w:num w:numId="5" w16cid:durableId="2137596912">
    <w:abstractNumId w:val="7"/>
  </w:num>
  <w:num w:numId="6" w16cid:durableId="1788160396">
    <w:abstractNumId w:val="3"/>
  </w:num>
  <w:num w:numId="7" w16cid:durableId="1175218990">
    <w:abstractNumId w:val="2"/>
  </w:num>
  <w:num w:numId="8" w16cid:durableId="1437287223">
    <w:abstractNumId w:val="1"/>
  </w:num>
  <w:num w:numId="9" w16cid:durableId="109517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AC01A4"/>
    <w:rsid w:val="00B16A91"/>
    <w:rsid w:val="00B47730"/>
    <w:rsid w:val="00CB0664"/>
    <w:rsid w:val="00CC65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D2079"/>
  <w14:defaultImageDpi w14:val="300"/>
  <w15:docId w15:val="{3EA0513C-DF3E-4F6F-9060-A70AF110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abhay malan</cp:lastModifiedBy>
  <cp:revision>2</cp:revision>
  <dcterms:created xsi:type="dcterms:W3CDTF">2013-12-23T23:15:00Z</dcterms:created>
  <dcterms:modified xsi:type="dcterms:W3CDTF">2026-03-05T00:56:00Z</dcterms:modified>
  <cp:category/>
</cp:coreProperties>
</file>